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B1823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26" w:after="238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Курбанова Лидия Увайсовна, профессор, доктор социологических наук.</w:t>
      </w:r>
    </w:p>
    <w:p>
      <w:pPr>
        <w:spacing w:lineRule="auto" w:line="226" w:after="238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Чеченский государственный университет, юридический факультет. </w:t>
      </w:r>
    </w:p>
    <w:p>
      <w:pPr>
        <w:spacing w:lineRule="auto" w:line="226" w:after="238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Россия. </w:t>
      </w:r>
    </w:p>
    <w:p>
      <w:pPr>
        <w:spacing w:after="319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«Трудная жизненная ситуация и информационный экстремизм</w:t>
      </w:r>
      <w:bookmarkStart w:id="0" w:name="_GoBack"/>
      <w:bookmarkEnd w:id="0"/>
      <w:r>
        <w:rPr>
          <w:rFonts w:ascii="Times New Roman" w:hAnsi="Times New Roman"/>
          <w:b w:val="1"/>
          <w:i w:val="1"/>
          <w:sz w:val="24"/>
        </w:rPr>
        <w:t>»</w:t>
      </w:r>
      <w:r>
        <w:rPr>
          <w:rFonts w:ascii="Times New Roman" w:hAnsi="Times New Roman"/>
          <w:sz w:val="24"/>
        </w:rPr>
        <w:t xml:space="preserve"> . </w:t>
      </w:r>
    </w:p>
    <w:p>
      <w:pPr>
        <w:spacing w:after="319" w:beforeAutospacing="0" w:afterAutospacing="0"/>
        <w:ind w:left="-2" w:right="-5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ФОРМАТ: ТРЕНИНГ</w:t>
      </w:r>
    </w:p>
    <w:p>
      <w:pPr>
        <w:pStyle w:val="P3"/>
        <w:spacing w:after="93" w:beforeAutospacing="0" w:afterAutospacing="0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Краткое описание метода / формата семинара </w:t>
      </w:r>
      <w:r>
        <w:rPr>
          <w:rFonts w:ascii="Times New Roman" w:hAnsi="Times New Roman"/>
          <w:sz w:val="24"/>
        </w:rPr>
        <w:t xml:space="preserve">Тренер дает краткое описание проблемы информационного экстремизма в молодежной среде, его актуальности в контексте таких параметров как глобализация, поликультурность в миграционной среде, динамичность и нестабильность в обществе, обусловленная жестким идеологическим противостоянием экстремистских сообществ, имеющие свои мощные центры по всему миру, расширяющие сферы влияния на самые разные социальные слои населения. В связи с этим  тренер  акцентирует внимание на общем психологическом самочувствии:-    тревожности и неопределенности, особенно в молодежной среде. Дается определение понятие </w:t>
      </w:r>
      <w:r>
        <w:rPr>
          <w:rFonts w:ascii="Times New Roman" w:hAnsi="Times New Roman"/>
          <w:i w:val="1"/>
          <w:sz w:val="24"/>
        </w:rPr>
        <w:t>информационная безопасность и информационный экстремизм.</w:t>
      </w:r>
      <w:r>
        <w:rPr>
          <w:rFonts w:ascii="Times New Roman" w:hAnsi="Times New Roman"/>
          <w:sz w:val="24"/>
        </w:rPr>
        <w:t xml:space="preserve">  Характеризуя законы Интернета тренер тезисно обозначает важные практические рекомендации для безопасного общения в социальных сетях. 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Дается важность гендерной дифференциации проблемы и разных мотивов вовлечения юношей и девушек в экстремисткие группы.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Выделяются основные мотивы девушек, по мнению исследователей, вовлекаемые в экстремизм. Исходя именно из этих мотивов выстроены 6 ( шесть) психологических тренингов для молодых женщин и девущек: .Тренинг1. «Трудная жизненная ситуация», Тренинг 2. «Женщины – лидеры». Тренинг. 3. «Найти внутренние ресурсы», Тренинг 4. «Письмо». Тренинг. 5. «Предупреждения виктимного поведения среди женщин и девочек». Тренинг.6. «Гендерные стереотипы как фактор психологического дискомфорта женщин». Все тренинги даны с подробной и пошаговой  инструкцией для тренера в работе с целевой группой. Тренинги разные по длительности проведения и сложности в реализации. Например , тренинг 5 . «Предупреждения виктимного поведения среди женщин и девочек» предполагает 4 этапа по 4 занятия .(по 10-20 мин). Сложность тренинга-крайне табуированность темы в чеченском обществе –домашнего сексуального насилия в семье.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каждого тренинга –обратная связь, сбор информации для дальнейшего расширения и адаптации материала в новых целевых аудиториях.</w:t>
      </w: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конкретной целевой группе </w:t>
      </w:r>
    </w:p>
    <w:p>
      <w:pPr>
        <w:spacing w:lineRule="auto" w:line="263" w:after="7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Группа из молодых женщин и девушек 15-25 лет, из мусульманского общества. Группа по 10-12 человек, примерно одного возраста, могут быть знакомы друг с другом( студенческая группа) или незнакомы-сборная группа в НКО.</w:t>
      </w:r>
    </w:p>
    <w:p>
      <w:pPr>
        <w:spacing w:lineRule="auto" w:line="263" w:after="7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Это группа или вы работаете с отдельными людьми?</w:t>
      </w:r>
    </w:p>
    <w:p>
      <w:pPr>
        <w:spacing w:lineRule="auto" w:line="263" w:after="7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Насколько велика группа, с которой работают в формате метода/семинара?</w:t>
      </w:r>
    </w:p>
    <w:p>
      <w:pPr>
        <w:spacing w:lineRule="auto" w:line="263" w:after="7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Какого типа эта группа (например, группа сверстников, класс, люди, известные/неизвестные друг другу)?</w:t>
      </w: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</w:t>
      </w:r>
    </w:p>
    <w:p>
      <w:pPr>
        <w:spacing w:lineRule="auto" w:line="263" w:after="96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Ознакомить с  источниками психологических мотиваций, способствующих вовлечению молодежи (женщин) в экстремистские организации через глобальную сеть Интернет-ресурса. Для реализации поставленной цели нами обозначены следующие задачи: – проанализировать природу информационного экстремизма, его новые вызовы в современных условиях; – выявить методы психологического воздействия на молодежь, используемые в сети Интернет экстремистскими организациями; – проанализировать основные мотивационные ресурсы, способствующие вовлечению в экстремистские организации молодых людей (женщин) через Интернет; – ознакомить молодежь с основами контрпропаганды и параметрами ее эффективности; . коротко ознакомить аудиторию с  общими законами Интернета, его соблазнами привлекательной информацией, рисками быть вовлечёнными в экстремистские группы. (Даны в пособии четко сформулированные тезисы поведения в виртуальном пространстве Интернета).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Ключевой частью структуры данного пособия</w:t>
      </w:r>
      <w:r>
        <w:rPr>
          <w:rFonts w:ascii="Times New Roman" w:hAnsi="Times New Roman"/>
          <w:sz w:val="24"/>
        </w:rPr>
        <w:t xml:space="preserve"> -это подробно и пошагово описанные  шесть (6) психологических методик – тренингов в работе по профилактике вовлечения молодых женщин в экстремистские организации.</w:t>
      </w: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Справочная информация</w:t>
      </w:r>
    </w:p>
    <w:p>
      <w:pPr>
        <w:spacing w:after="367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 xml:space="preserve">Методическое пособие опирается на массив литературы по анализу инофрмационного экстремизма, а так же на психологические практики психологов, которы были адаптированы в практической деятельности в Дагестане и Чеченской Республике и весь материал был обощен в  учебно-методическом пособии « Профилактика информационного экстремизма в молодежной среде: гендерный аспект»- Майкоп – 2016 года ( Курбанова Л.У.) Учебно-методическое пособие послужило опорным материалом для создания данного практического тренинга с учетом результатов адаптации исходного материала.</w:t>
      </w:r>
    </w:p>
    <w:p>
      <w:pPr>
        <w:pStyle w:val="P2"/>
        <w:spacing w:after="217" w:beforeAutospacing="0" w:afterAutospacing="0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II. Подробное описание реализации воркшопа (шаг за шагом)</w:t>
      </w:r>
    </w:p>
    <w:p>
      <w:pPr>
        <w:spacing w:after="39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>Структура описания:</w:t>
      </w:r>
    </w:p>
    <w:p>
      <w:pPr>
        <w:numPr>
          <w:ilvl w:val="0"/>
          <w:numId w:val="1"/>
        </w:numPr>
        <w:spacing w:lineRule="auto" w:line="260" w:after="1" w:beforeAutospacing="0" w:afterAutospacing="0"/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Первый шаг: Тренер знакомит аудиторию с темой тренинга, коротко говорит о ее актуальности, важности, целях,  задачах и способах их реализации. Дает определение опорным понятиям: «информационный экстремизм», «информационная безопасность», «гендерная дифференциация мотивов вовлечения в экстремистские группы». </w:t>
      </w:r>
    </w:p>
    <w:p>
      <w:pPr>
        <w:numPr>
          <w:ilvl w:val="0"/>
          <w:numId w:val="1"/>
        </w:numPr>
        <w:spacing w:lineRule="auto" w:line="260" w:after="1" w:beforeAutospacing="0" w:afterAutospacing="0"/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Второй шаг. Тренер коротко знакомит аудиторию с названиями и содержанием всех психологических тренингов. Затем, обращаясь к аудитории, предлагает на проведение одну из них. </w:t>
      </w:r>
    </w:p>
    <w:p>
      <w:pPr>
        <w:spacing w:lineRule="auto" w:line="263" w:after="7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after="241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Важно: не вступать в спор в части критики поступков девушек, их намерений, стараться исключить в аудитории оценочных суждений мнений и поступков женщин.  Помнить, что наша задача - понять  психологические мотивы поступков в  обсуждаемых кейсах,( примеры приведены в методическом пособии) а не критика их.</w:t>
      </w:r>
    </w:p>
    <w:p>
      <w:pPr>
        <w:spacing w:after="241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Важно: аргументировать корректно, давая возможность высказать альтернативное суждение.</w:t>
      </w:r>
    </w:p>
    <w:p>
      <w:pPr>
        <w:spacing w:after="241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девушки по каким-то  причинам не хотят  публично озвучивать  проблему-не настаивать, дать возможность им через общую методику тренинга осмыслить свою проблему и нащупать пути выхода из сложной жизненной ситуации.</w:t>
      </w:r>
    </w:p>
    <w:p>
      <w:pPr>
        <w:spacing w:after="4" w:beforeAutospacing="0" w:afterAutospacing="0"/>
        <w:ind w:hanging="10"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Примечание организатора о желаемой идеально-типичной структуре метода / формате семинара (педагогическая установка):</w:t>
      </w:r>
    </w:p>
    <w:p>
      <w:pPr>
        <w:spacing w:after="47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numPr>
          <w:ilvl w:val="0"/>
          <w:numId w:val="2"/>
        </w:numPr>
        <w:spacing w:lineRule="auto" w:line="260" w:after="1" w:beforeAutospacing="0" w:afterAutospacing="0"/>
        <w:ind w:hanging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Введение  в тему (около 10 минут)</w:t>
      </w:r>
    </w:p>
    <w:p>
      <w:pPr>
        <w:numPr>
          <w:ilvl w:val="0"/>
          <w:numId w:val="2"/>
        </w:numPr>
        <w:spacing w:lineRule="auto" w:line="260" w:after="1" w:beforeAutospacing="0" w:afterAutospacing="0"/>
        <w:ind w:hanging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Психологический тренинг, проводимый тренером (60 минут).</w:t>
      </w:r>
    </w:p>
    <w:p>
      <w:pPr>
        <w:numPr>
          <w:ilvl w:val="0"/>
          <w:numId w:val="2"/>
        </w:numPr>
        <w:spacing w:lineRule="auto" w:line="260" w:after="1" w:beforeAutospacing="0" w:afterAutospacing="0"/>
        <w:ind w:hanging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Обратная связь в виде вопросов-ответов, размышлений с аудиторией по заявленной проблеме и возможности проведения других психологических тренингов ( в методическом пособии их 6)</w:t>
      </w:r>
    </w:p>
    <w:p>
      <w:pPr>
        <w:spacing w:lineRule="auto" w:line="260" w:after="1" w:beforeAutospacing="0" w:afterAutospacing="0"/>
        <w:ind w:left="24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Пример одного психологического тренинга</w:t>
      </w:r>
      <w:r>
        <w:rPr>
          <w:rFonts w:ascii="Times New Roman" w:hAnsi="Times New Roman"/>
          <w:b w:val="1"/>
          <w:sz w:val="24"/>
        </w:rPr>
        <w:t>.</w:t>
      </w:r>
    </w:p>
    <w:p>
      <w:pPr>
        <w:pStyle w:val="P4"/>
        <w:spacing w:lineRule="auto" w:line="24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Тренинг  «Трудная жизненная ситуация» ( это один из мотивов возможного вовлечения женщин в экстремизм через сеть –Интернет.</w:t>
      </w:r>
    </w:p>
    <w:p>
      <w:pPr>
        <w:pStyle w:val="P5"/>
        <w:spacing w:before="0" w:after="0" w:beforeAutospacing="0" w:afterAutospacing="0"/>
        <w:ind w:firstLine="360"/>
        <w:jc w:val="both"/>
        <w:rPr>
          <w:color w:val="000000"/>
        </w:rPr>
      </w:pPr>
      <w:r>
        <w:rPr>
          <w:rStyle w:val="C9"/>
          <w:color w:val="000000"/>
        </w:rPr>
        <w:t xml:space="preserve">Понятие «трудная жизненная ситуация», можно определить  как  неизбежное событие в жизненном цикле личности, порождающее эмоциональные напряжения и стрессы; препятствия в реализации важных жизненных целей.   С ними  нельзя справиться с помощью привычных средств. Это ситуация  сопровождается  нарушением привычных внутренних связей, а так же невозможностью реализации внутренних мотивов, жизненных  стремлений, привычных и понятных ценностей.</w:t>
      </w:r>
    </w:p>
    <w:p>
      <w:pPr>
        <w:pStyle w:val="P5"/>
        <w:spacing w:before="0" w:after="0" w:beforeAutospacing="0" w:afterAutospacing="0"/>
        <w:ind w:firstLine="708"/>
        <w:jc w:val="both"/>
        <w:rPr>
          <w:rStyle w:val="C7"/>
          <w:color w:val="000000"/>
        </w:rPr>
      </w:pPr>
      <w:r>
        <w:rPr>
          <w:rStyle w:val="C7"/>
          <w:color w:val="000000"/>
        </w:rPr>
        <w:t>К трудной жизненной ситуации относят: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потеря места работы,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длительная безработица, сопровождаемая хроническими экономическими проблемами, 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измена мужа;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вторая жена.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развод в семье,</w:t>
      </w:r>
    </w:p>
    <w:p>
      <w:pPr>
        <w:pStyle w:val="P5"/>
        <w:numPr>
          <w:ilvl w:val="0"/>
          <w:numId w:val="6"/>
        </w:numPr>
        <w:spacing w:before="0" w:after="0" w:beforeAutospacing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  жестокое обращение со стороны мужа или родственников (домашнее насилие).</w:t>
      </w:r>
    </w:p>
    <w:p>
      <w:pPr>
        <w:spacing w:lineRule="auto" w:line="240" w:after="0" w:beforeAutospacing="0" w:afterAutospacing="0"/>
        <w:ind w:firstLine="284"/>
        <w:jc w:val="both"/>
        <w:rPr>
          <w:rStyle w:val="C7"/>
          <w:rFonts w:ascii="Times New Roman" w:hAnsi="Times New Roman"/>
          <w:sz w:val="24"/>
          <w:shd w:val="clear" w:fill="FFFFFF"/>
        </w:rPr>
      </w:pPr>
      <w:r>
        <w:rPr>
          <w:rStyle w:val="C7"/>
          <w:rFonts w:ascii="Times New Roman" w:hAnsi="Times New Roman"/>
          <w:sz w:val="24"/>
          <w:shd w:val="clear" w:fill="FFFFFF"/>
        </w:rPr>
        <w:t>Одна из эффективных моделей психологической помощи – это</w:t>
      </w:r>
      <w:r>
        <w:rPr>
          <w:rStyle w:val="C6"/>
          <w:rFonts w:ascii="Times New Roman" w:hAnsi="Times New Roman"/>
          <w:sz w:val="24"/>
          <w:shd w:val="clear" w:fill="FFFFFF"/>
        </w:rPr>
        <w:t> </w:t>
      </w:r>
      <w:r>
        <w:rPr>
          <w:rStyle w:val="C8"/>
          <w:rFonts w:ascii="Times New Roman" w:hAnsi="Times New Roman"/>
          <w:sz w:val="24"/>
          <w:shd w:val="clear" w:fill="FFFFFF"/>
        </w:rPr>
        <w:t>психологическое сопровождение</w:t>
      </w:r>
      <w:r>
        <w:rPr>
          <w:rStyle w:val="C7"/>
          <w:rFonts w:ascii="Times New Roman" w:hAnsi="Times New Roman"/>
          <w:sz w:val="24"/>
          <w:shd w:val="clear" w:fill="FFFFFF"/>
        </w:rPr>
        <w:t xml:space="preserve"> женщин  в кризисные периоды жизни.  </w:t>
      </w:r>
    </w:p>
    <w:p>
      <w:pPr>
        <w:spacing w:lineRule="auto" w:line="240" w:after="0" w:beforeAutospacing="0" w:afterAutospacing="0"/>
        <w:ind w:firstLine="284"/>
        <w:jc w:val="both"/>
        <w:rPr>
          <w:rStyle w:val="C7"/>
          <w:rFonts w:ascii="Times New Roman" w:hAnsi="Times New Roman"/>
          <w:b w:val="1"/>
          <w:sz w:val="24"/>
          <w:shd w:val="clear" w:fill="FFFFFF"/>
        </w:rPr>
      </w:pPr>
      <w:r>
        <w:rPr>
          <w:rStyle w:val="C7"/>
          <w:rFonts w:ascii="Times New Roman" w:hAnsi="Times New Roman"/>
          <w:b w:val="1"/>
          <w:sz w:val="24"/>
          <w:shd w:val="clear" w:fill="FFFFFF"/>
        </w:rPr>
        <w:t>Цель: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Формирование  эмоциональной устойчивости женщин,  посредством  управления собственным психоэмоциональным состоянием, привитие  навыков позитивного самовосприятия. 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Формирование  мотивации  женщины на самостоятельное достижение позитивных изменений, направленных на повышение собственной  самооценки , снятие  внутреннего страха, формирование уверенности в своем личностном потенциале.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Style w:val="C7"/>
          <w:rFonts w:ascii="Times New Roman" w:hAnsi="Times New Roman"/>
          <w:sz w:val="24"/>
          <w:shd w:val="clear" w:fill="FFFFFF"/>
        </w:rPr>
        <w:t xml:space="preserve">      </w:t>
      </w:r>
      <w:r>
        <w:rPr>
          <w:rFonts w:ascii="Times New Roman" w:hAnsi="Times New Roman"/>
          <w:b w:val="1"/>
          <w:sz w:val="24"/>
        </w:rPr>
        <w:t xml:space="preserve">Предлагается   набор базовых  методик, которые успешно зарекомендовали себя в рамках психотерапевтической работы с женщинами, находящихся в трудной жизненной  ситуации.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СТРАХИ!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ЧЕГО Я БОЮСЬ?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Упражнения этого блока помогают лучше разобраться с эмоциональным компонентом неуверенности в себе.  Определить уровень социальных страхов женщин и  девушек, часто тесно связанных с проблемами в отношениях.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Упражнение 1. Я ТАК БОЮСЬ, А МНОГИЕ ЭТОГО НЕ БОЯТСЯ</w:t>
      </w:r>
    </w:p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tbl>
      <w:tblPr>
        <w:tblW w:w="6436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/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Материалы</w:t>
            </w:r>
          </w:p>
        </w:tc>
        <w:tc>
          <w:tcPr>
            <w:tcW w:w="504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требуются.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  <w:tc>
          <w:tcPr>
            <w:tcW w:w="504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– 20 мин.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Инструкция</w:t>
            </w:r>
          </w:p>
        </w:tc>
        <w:tc>
          <w:tcPr>
            <w:tcW w:w="504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«Ваша задача будет состоять в том, чтобы обнаружить в себе „зоны страха" и найти такие вещи, которых вы боитесь, хотя многие люди этого не боятся. Пожалуйста, попробуйте выстроить применительно к себе самим фразы по следующему шаблону: „Я боюсь чего-то, хотя этого не боятся". Задача каждого – найти в себе минимум 3 страха»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Обсуждение</w:t>
            </w:r>
          </w:p>
        </w:tc>
        <w:tc>
          <w:tcPr>
            <w:tcW w:w="504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«Бывают вещи, которых действительно стоит бояться, например, оголенных электрических проводов, диких хищных животных, автомобилей на большой скорости. Но бывают и страхи менее рациональные, например, страх критики, страх успеха, страх задать вопрос преподавателю. Можем ли мы среди названных страхов найти абсолютно рациональные или абсолютно нерациональные?»</w:t>
            </w:r>
          </w:p>
        </w:tc>
      </w:tr>
    </w:tbl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Комментарии: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группа долго молчит и не находится участника, который бы начал говорить, тренер начинает с себя, открыто сообщая о том, чего он лично боится. Тренер активно подкрепляет высказывания каждого участника невербально или фразами: «Да, действительно, это бывает страшно, этого стоит опасаться» и т. п. Ко-тренер фиксирует все названные страхи, отмечая их авторство.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Обычно формулирование собственных страхов не вызывает у участников особых трудностей. Если возникают слишком большие паузы, то можно предложить участникам самим называть того, кто будет говорить следующим, или бросать ему игрушечный мячик, на котором написано «мой страх».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Упражнение также может использоваться для разогрева в начале рабочего дня или после перерыва.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Упражнение 2. Я НЕ БОЮСЬ, А МНОГИЕ БОЯТСЯ</w:t>
      </w:r>
    </w:p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tbl>
      <w:tblPr>
        <w:tblW w:w="635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/>
      <w:tr>
        <w:trPr>
          <w:jc w:val="center"/>
        </w:trPr>
        <w:tc>
          <w:tcPr>
            <w:tcW w:w="12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Материалы</w:t>
            </w:r>
          </w:p>
        </w:tc>
        <w:tc>
          <w:tcPr>
            <w:tcW w:w="506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требуются.</w:t>
            </w:r>
          </w:p>
        </w:tc>
      </w:tr>
      <w:tr>
        <w:trPr>
          <w:jc w:val="center"/>
        </w:trPr>
        <w:tc>
          <w:tcPr>
            <w:tcW w:w="12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  <w:tc>
          <w:tcPr>
            <w:tcW w:w="506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– 20 мин.</w:t>
            </w:r>
          </w:p>
        </w:tc>
      </w:tr>
      <w:tr>
        <w:trPr>
          <w:jc w:val="center"/>
        </w:trPr>
        <w:tc>
          <w:tcPr>
            <w:tcW w:w="12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Инструкция</w:t>
            </w:r>
          </w:p>
        </w:tc>
        <w:tc>
          <w:tcPr>
            <w:tcW w:w="5063" w:type="dxa"/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«ваша задача будет состоять в том, чтобы обнаружить в себе „зоны смелости" и найти такие действия, совершать которые вы не боитесь, хотя многие люди этого боятся. Пожалуйста, попробуйте выстроить применительно к себе самим фразы по следующему шаблону: „Я не боюсь чего-то, хотя этого боятся и (или) не могут многие люди”.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каждого – произнести 3 подобные фразы».</w:t>
            </w:r>
          </w:p>
        </w:tc>
      </w:tr>
      <w:tr>
        <w:trPr>
          <w:jc w:val="center"/>
        </w:trPr>
        <w:tc>
          <w:tcPr>
            <w:tcW w:w="12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Обсуждение</w:t>
            </w:r>
          </w:p>
        </w:tc>
        <w:tc>
          <w:tcPr>
            <w:tcW w:w="506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«Возможно, кто-то из вас заметил, что он боится того, чего не боятся другие участники группы. Скажите, пожалуйста, им об этом».</w:t>
            </w:r>
          </w:p>
        </w:tc>
      </w:tr>
    </w:tbl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Комментарии: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группа долго молчит и не находится участника, который бы начал говорить, тренер начинает сам такой, например, фразой: «Я не боюсь </w:t>
      </w:r>
      <w:r>
        <w:rPr>
          <w:rFonts w:ascii="Times New Roman" w:hAnsi="Times New Roman"/>
          <w:i w:val="1"/>
          <w:sz w:val="24"/>
        </w:rPr>
        <w:t>проводить тренинги, хотя этого боятся и ж умеют многие люди». В случае, если группа надолго замолкает, тренер или ко-тренер могут произносить</w:t>
      </w:r>
      <w:r>
        <w:rPr>
          <w:rFonts w:ascii="Times New Roman" w:hAnsi="Times New Roman"/>
          <w:sz w:val="24"/>
        </w:rPr>
        <w:t xml:space="preserve"> страховочные фразы: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«Я не боюсь критики, хотя ее боятся многие люди».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«Я не боюсь выступать публично, хотя этого боятся или Я могут многие люди»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 активно подкрепляет высказывания каждого участника невербально или фразами: «Прекрасно, замечательно, хорошо, здорово» и т. п.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Ко-тренер фиксирует в протоколе названные «зоны смелости» отдельно для социальных и биологических страхов. Эти данные могут пригодиться для тренировки самоподкрепления и поощрения других людей.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возникают слишком большие паузы, то участникам предлагается самим называть того, кто будет говорить следующим, или бросать ему игрушечный мячик, на котором написано: «зона смелости».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Упражнение также может использоваться для разогрева в начале рабочего дня или после перерыва.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выполнения этих двух упражнений часто можно обнаружить пары участников, один из которых не боится того, чего очень боится другой. В этом случае можно использовать упражнение «Как же ты научился этого не бояться?»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Упражнение 3. КАК ЖЕ ТЫ НАУЧИЛСЯ ЭТОГО НЕ БОЯТЬСЯ?</w:t>
      </w:r>
    </w:p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tbl>
      <w:tblPr>
        <w:tblW w:w="635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jc w:val="center"/>
        </w:trPr>
        <w:tc>
          <w:tcPr>
            <w:tcW w:w="136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Материалы</w:t>
            </w:r>
          </w:p>
        </w:tc>
        <w:tc>
          <w:tcPr>
            <w:tcW w:w="48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Ко-тренер проверяет свои записи и составляет пары участников, в которых один боится того (или примерно того), чего не боится другой.</w:t>
            </w:r>
          </w:p>
        </w:tc>
      </w:tr>
      <w:tr>
        <w:trPr>
          <w:jc w:val="center"/>
        </w:trPr>
        <w:tc>
          <w:tcPr>
            <w:tcW w:w="136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  <w:tc>
          <w:tcPr>
            <w:tcW w:w="48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– 15 мин., обсуждение – 5-7 мин. на каждого участника.</w:t>
            </w:r>
          </w:p>
        </w:tc>
      </w:tr>
      <w:tr>
        <w:trPr>
          <w:jc w:val="center"/>
        </w:trPr>
        <w:tc>
          <w:tcPr>
            <w:tcW w:w="136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Инструкция</w:t>
            </w:r>
          </w:p>
        </w:tc>
        <w:tc>
          <w:tcPr>
            <w:tcW w:w="4860" w:type="dxa"/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«Наша задача будет состоять в том, чтобы выяснить, каким образом другой участник группы научился не бояться того, чего боимся мы. Для этого нам потребуется сформировать пары, и это мы сделаем следующим образом.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Сначала просто найдите того, кто в предыдущих упражнениях говорил, что он боится чего-либо, чего вы сами не боитесь. Те, для кого не нашлось пары, просто поговорите друг с другом, чтобы найти такие вещи ».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«Теперь, пожалуйста, постарайтесь выяснить у партнера, что ему помогло или помогает не бояться».</w:t>
            </w:r>
          </w:p>
        </w:tc>
      </w:tr>
      <w:tr>
        <w:trPr>
          <w:jc w:val="center"/>
        </w:trPr>
        <w:tc>
          <w:tcPr>
            <w:tcW w:w="136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Обсуждение</w:t>
            </w:r>
          </w:p>
        </w:tc>
        <w:tc>
          <w:tcPr>
            <w:tcW w:w="48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«Какие способы формирования смелости мы узнали из наших диалогов?»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Результатом должен стать перечень разных способов борьбы со страхом.</w:t>
            </w:r>
          </w:p>
        </w:tc>
      </w:tr>
    </w:tbl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Комментарии: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 такие разговоры наталкиваются на то, что один из участников заявляет, что он никогда этого не боялся. В этом случае ему дается задание убедить партнера (лучше – на конкретных примерах), что бояться данного объекта или действия нет смысла!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Обычно проведение этого упражнения приводит к тому, чтя «смелому» участнику удается достаточно четко и емко сформулировать те фразы, которые помогли ему справиться со страшной ситуацией.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Так, например, на одном из наших тренингов друг с другом беседовали две женщины, одна из которых бесстрашно водит автомобиль, другая же панически этого боится (особенно – пеpeсекать оживленные перекрестки). В самом начале своей водительской практики автомобиль первой заглох на оживленном перекрестке, и она никак не могла его завести. Сзади раздавались звуковые сигналы, водители обгонявших ее автомобилей не стеснялись в выражениях. Справиться с волнением девушке помогла простая мысль: «Меня не интересуют те, кто позади меня, пусть сами думают о себе. Меня не интересуют те, кто меня обгоняет, они уже нашли решение своих проблем. Мне нужно ехать вперед, двинусь вперед, как только заведу машину, и буду смотреть только на тех, кто впереди меня». Страх помешать кому-либо или показать себя неумелым водителем в этом случае был преодолен.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</w:p>
    <w:p>
      <w:pPr>
        <w:keepNext w:val="1"/>
        <w:keepLines w:val="1"/>
        <w:shd w:val="clear" w:fill="FFFFFF"/>
        <w:spacing w:lineRule="auto" w:line="240" w:after="0" w:beforeAutospacing="0" w:afterAutospacing="0"/>
        <w:ind w:firstLine="397"/>
        <w:jc w:val="both"/>
        <w:outlineLvl w:val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Упражнение 4 ОДИНОЧЕСТВО</w:t>
      </w:r>
    </w:p>
    <w:p>
      <w:pPr>
        <w:keepNext w:val="1"/>
        <w:keepLines w:val="1"/>
        <w:shd w:val="clear" w:fill="FFFFFF"/>
        <w:spacing w:lineRule="auto" w:line="240" w:after="0" w:beforeAutospacing="0" w:afterAutospacing="0"/>
        <w:ind w:firstLine="397"/>
        <w:jc w:val="both"/>
        <w:outlineLvl w:val="0"/>
        <w:rPr>
          <w:rFonts w:ascii="Times New Roman" w:hAnsi="Times New Roman"/>
          <w:i w:val="1"/>
          <w:sz w:val="24"/>
        </w:rPr>
      </w:pPr>
    </w:p>
    <w:tbl>
      <w:tblPr>
        <w:tblW w:w="6350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/>
      <w:tr>
        <w:trPr>
          <w:jc w:val="center"/>
        </w:trPr>
        <w:tc>
          <w:tcPr>
            <w:tcW w:w="1260" w:type="dxa"/>
          </w:tcPr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Материалы</w:t>
            </w:r>
          </w:p>
        </w:tc>
        <w:tc>
          <w:tcPr>
            <w:tcW w:w="5090" w:type="dxa"/>
          </w:tcPr>
          <w:p>
            <w:pPr>
              <w:keepNext w:val="1"/>
              <w:keepLines w:val="1"/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Карточки, на которых написаны следующие ключевые фразы:</w:t>
            </w:r>
          </w:p>
          <w:p>
            <w:pPr>
              <w:keepNext w:val="1"/>
              <w:keepLines w:val="1"/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Очень одиноко мне было, когда...</w:t>
            </w:r>
          </w:p>
          <w:p>
            <w:pPr>
              <w:keepNext w:val="1"/>
              <w:keepLines w:val="1"/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 последний раз я почувствовал(а) себя одиноко...</w:t>
            </w:r>
          </w:p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Самое сильное чувство одиночества было вызвано разлукой с...</w:t>
            </w:r>
          </w:p>
        </w:tc>
      </w:tr>
      <w:tr>
        <w:trPr>
          <w:jc w:val="center"/>
        </w:trPr>
        <w:tc>
          <w:tcPr>
            <w:tcW w:w="12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  <w:tc>
          <w:tcPr>
            <w:tcW w:w="509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– 15 мин., обсуждение – 5-7 мин. на каждого участника.</w:t>
            </w:r>
          </w:p>
        </w:tc>
      </w:tr>
      <w:tr>
        <w:trPr>
          <w:jc w:val="center"/>
        </w:trPr>
        <w:tc>
          <w:tcPr>
            <w:tcW w:w="12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Инструкция</w:t>
            </w:r>
          </w:p>
        </w:tc>
        <w:tc>
          <w:tcPr>
            <w:tcW w:w="5090" w:type="dxa"/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«Пожалуйста, вспомните те моменты вашей жизни, когда  вы чувствовали себя очень одиноко, когда разлука с близкими людьми или жизненные изменения вызвали у вас сильное чувство одиночества. Пожалуйста, закончите фразы, которые записаны на ваших карточках, одним-двумя предложениями.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 значения, какие ситуации придут вам в голову – из недавнего прошлого, вашего детства, школьной или взрослой жизни. Просто запишите первые ситуации, которые приходят в голову».</w:t>
            </w:r>
          </w:p>
        </w:tc>
      </w:tr>
      <w:tr>
        <w:trPr>
          <w:jc w:val="center"/>
        </w:trPr>
        <w:tc>
          <w:tcPr>
            <w:tcW w:w="12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Обсуждение</w:t>
            </w:r>
          </w:p>
        </w:tc>
        <w:tc>
          <w:tcPr>
            <w:tcW w:w="509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участник группы читает записанные им фразы. Обычно участники группы так или иначе комментируют записанное, в этом случае тренер дает им высказаться. Желательно, чтобы в процессе обсуждения были найдены конкретные люди или события, которые спровоцировали одиночество. Вот вопросы, которые помогают это сделать: Наверное, ты особенно скучал(а) по какому-то конкретному человеку... Вероятно, что-то предшествовало этому... Конечно, была какая-то причина, которая вызвала одиночество...</w:t>
            </w:r>
          </w:p>
        </w:tc>
      </w:tr>
    </w:tbl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Комментарии: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этого упражнения тренер может столкнуться со следующими сложными случаями: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заявляет, что ему одиноко все время, и это не связано ни с количеством знакомых и друзей, ни с какими-то определенными событиями.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Тогда группе может быть задан вопрос: «В каком случае может произойти подобное? Обычно группа легко находит ответ, который заключается в том, что друзья и близкие люди этого человека, по существу, таковыми для него не являются.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Иногда участник группы может заявить, что он не помнит ни одного случая, когда бы он чувствовал себя одиноко.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состоит в том, что участнику предлагается вспомнить время, когда ему было скучно либо не так весело и спокойно, как это бывает с ним обычно. Если и это предложение отвергается, то участника назначают «экспертом по борьбе с одиночеством», и просят его в следующих упражнениях помогать другим найти путь «прочь от одиночества».</w:t>
      </w:r>
    </w:p>
    <w:p>
      <w:pPr>
        <w:shd w:val="clear" w:fill="FFFFFF"/>
        <w:spacing w:lineRule="auto" w:line="240" w:after="0" w:beforeAutospacing="0" w:afterAutospacing="0"/>
        <w:jc w:val="both"/>
        <w:outlineLvl w:val="0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Упражнение 5. ПУТИ ИЗ ОДИНОЧЕСТВА</w:t>
      </w:r>
    </w:p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tbl>
      <w:tblPr>
        <w:tblW w:w="6862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/>
      <w:tr>
        <w:trPr>
          <w:jc w:val="center"/>
        </w:trPr>
        <w:tc>
          <w:tcPr>
            <w:tcW w:w="1395" w:type="dxa"/>
          </w:tcPr>
          <w:p>
            <w:pPr>
              <w:keepNext w:val="1"/>
              <w:keepLine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Материалы</w:t>
            </w:r>
          </w:p>
        </w:tc>
        <w:tc>
          <w:tcPr>
            <w:tcW w:w="5467" w:type="dxa"/>
          </w:tcPr>
          <w:p>
            <w:pPr>
              <w:numPr>
                <w:ilvl w:val="0"/>
                <w:numId w:val="4"/>
              </w:num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Карточки, на которых написаны следующие ключевые фразы: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мне было одиноко, я вел себя следующим образом... На обороте карточки написано следующее: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я поступаю почти всегда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я поступаю иногда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такое поведение для меня совершенно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необычно</w:t>
            </w:r>
          </w:p>
          <w:p>
            <w:pPr>
              <w:keepNext w:val="1"/>
              <w:keepLines w:val="1"/>
              <w:numPr>
                <w:ilvl w:val="0"/>
                <w:numId w:val="4"/>
              </w:num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Красные и черные фишки.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ind w:firstLine="1672" w:left="-16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Время</w:t>
            </w:r>
          </w:p>
        </w:tc>
        <w:tc>
          <w:tcPr>
            <w:tcW w:w="546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– 15 мин., обсуждение – 10-15 мин. на каждого участника.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Инструкция</w:t>
            </w:r>
          </w:p>
        </w:tc>
        <w:tc>
          <w:tcPr>
            <w:tcW w:w="5467" w:type="dxa"/>
          </w:tcPr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«Вспомните случай, когда вам было особенно одиноко (здесь вам может помочь предыдущее упражнение). Запишите, пожалуйста, вкратце, как вы себя вели в этой ситуации, что вы предприняли, чтобы справиться с одиночеством».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Затем: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«Переверните, пожалуйста, карточку, и отметьте, насколько такое поведение типично для вас».</w:t>
            </w:r>
          </w:p>
        </w:tc>
      </w:tr>
      <w:tr>
        <w:trPr>
          <w:jc w:val="center"/>
        </w:trPr>
        <w:tc>
          <w:tcPr>
            <w:tcW w:w="139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Обсуждение</w:t>
            </w:r>
          </w:p>
        </w:tc>
        <w:tc>
          <w:tcPr>
            <w:tcW w:w="546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Каждый участник говорит о своем поведении в ситуации одиночества и о том, насколько это типично для него. Карточки всех участников выкладываются на пол в центре круга.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Тренер предлагает группе попытаться! классифицировать, разбить на группы по степени сходства модели поведения в ситуации одиночества. В итоге в центре круга должны оказаться группы схожих карточек. Возможно, некоторые карточки будут лежать особняком.</w:t>
            </w:r>
          </w:p>
          <w:p>
            <w:pPr>
              <w:shd w:val="clear" w:fill="FFFFFF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После того как карточки классифицированы, полученные варианты обсуждаются группой с точки зрения их эффективности для каждого. Группа после непродолжительного (за чем следит тренер) обсуждения присваивает каждому варианту красную (хороший вариант) или черную (плохой вариант) фишку. При оценке вариантов участников спрашивают о том, чем именно хорош или плох каждый из вариантов, почему этот вариант хорош или плох для них лично. После процедуры оценивания, предоставляется слово участникам, чьи варианты получили большое количество негативных оценок.</w:t>
            </w:r>
          </w:p>
        </w:tc>
      </w:tr>
    </w:tbl>
    <w:p>
      <w:pPr>
        <w:shd w:val="clear" w:fill="FFFFFF"/>
        <w:spacing w:lineRule="auto" w:line="240" w:after="0" w:beforeAutospacing="0" w:afterAutospacing="0"/>
        <w:ind w:firstLine="397"/>
        <w:jc w:val="both"/>
        <w:rPr>
          <w:rFonts w:ascii="Times New Roman" w:hAnsi="Times New Roman"/>
          <w:i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Комментарии: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Обычно участники легко справляются с задачей классификации моделей поведения в ситуации одиночества и их оценкой.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мнения участников относительно какого-либо варианта поведения разделяются, то тренер признает такую возможность и говорит, что для разных ситуаций и разных людей подходят разные модели. Ни одна из них не может быть названа универсальной. Именно поэтому легче справиться с одиночеством, если» мы одинаково хорошо владеем разными моделями.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Обычно в результате классификации называются следующие категории: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Вернуться, повстречаться, объединиться с близким человеком.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Забыть и не вспоминать о близком человеке.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Уничтожить пути к близким людям.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Помнить и переживать.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Найти новых знакомых.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Заняться отвлекающей деятельностью.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b w:val="1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Страховка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обсуждения, если такой выход не найден самой группой, тренер может сам предложить самую общую классификацию:</w:t>
      </w: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Восстановить прежние отношения.</w:t>
      </w: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новые отношения.</w:t>
      </w: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Переключиться на замещающую деятельность.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стенде или стене помещения может быть вывешен транспарант: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Пути прочь от одиночества различны.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Можно использовать любой из них.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Множество путей означает свободу и возможность выбора.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Работа с ресурсами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люди обладают какими-либо ресурсами – это навыки, способности, интересы, достойные восхищения черты характера и т. д. Они могут быть в той или'иной степени использованы при разрешении проблемы. Однако эти ресурсы могут остаться и незамеченными, если психотерапевт намеренно не сфокусирует внимание на их появлении. Можно задавать прямые вопросы: «Есть ли что-то такое, что вам хорошо удается? Как можно было бы использовать это ваше умение в разрешении данной проблемы?» В этой технике стремятся выявить, каким образом человеку удается совладать со своими проблемами, противостоять их давлению.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</w:p>
    <w:p>
      <w:pPr>
        <w:shd w:val="clear" w:fill="FFFFFF"/>
        <w:spacing w:lineRule="auto" w:line="240" w:after="0" w:beforeAutospacing="0" w:afterAutospacing="0"/>
        <w:ind w:firstLine="284"/>
        <w:jc w:val="both"/>
        <w:outlineLvl w:val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Техника «Выявление ресурсов пациентов»</w:t>
      </w:r>
    </w:p>
    <w:p>
      <w:pPr>
        <w:shd w:val="clear" w:fill="FFFFFF"/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Образцы вопросов:</w:t>
      </w:r>
    </w:p>
    <w:p>
      <w:pPr>
        <w:numPr>
          <w:ilvl w:val="0"/>
          <w:numId w:val="3"/>
        </w:numPr>
        <w:shd w:val="clear" w:fill="FFFFFF"/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бы мне пришлось пройти через то, через что прошли вы, я бы, наверное, не выжил. Как вам удалось выжить? Откуда у вас взялись силы?</w:t>
      </w:r>
    </w:p>
    <w:p>
      <w:pPr>
        <w:numPr>
          <w:ilvl w:val="0"/>
          <w:numId w:val="3"/>
        </w:numPr>
        <w:shd w:val="clear" w:fill="FFFFFF"/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Вам так долго удавалось избегать этой проблемы. Какие ресурсы вы для этого использовали?</w:t>
      </w:r>
    </w:p>
    <w:p>
      <w:pPr>
        <w:numPr>
          <w:ilvl w:val="0"/>
          <w:numId w:val="3"/>
        </w:numPr>
        <w:shd w:val="clear" w:fill="FFFFFF"/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ли что-то такое, что вам хорошо удается? Как можно было бы использовать это ваше умение в разрешении данной проблемы?</w:t>
      </w:r>
    </w:p>
    <w:p>
      <w:pPr>
        <w:numPr>
          <w:ilvl w:val="0"/>
          <w:numId w:val="3"/>
        </w:numPr>
        <w:shd w:val="clear" w:fill="FFFFFF"/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у вас самая хорошая черта характера? Как вы до сих пор использовали эту черту характера в подходе к этой проблеме? Что еще вы могли бы сделать, что позволило бы вам использовать эту черту для решения проблемы?</w:t>
      </w:r>
    </w:p>
    <w:p>
      <w:pPr>
        <w:numPr>
          <w:ilvl w:val="0"/>
          <w:numId w:val="3"/>
        </w:numPr>
        <w:shd w:val="clear" w:fill="FFFFFF"/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ли сходные проблемы, которые вам приходилось решать до этого? Могли бы вы подумать о том, как использовать решение аналогичного типа в данном случае?</w:t>
      </w:r>
    </w:p>
    <w:p>
      <w:pPr>
        <w:numPr>
          <w:ilvl w:val="0"/>
          <w:numId w:val="3"/>
        </w:numPr>
        <w:tabs>
          <w:tab w:val="left" w:pos="504" w:leader="none"/>
          <w:tab w:val="clear" w:pos="720" w:leader="none"/>
        </w:tabs>
        <w:spacing w:lineRule="auto" w:line="240" w:after="0" w:beforeAutospacing="0" w:afterAutospacing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Кто, по-вашему, мог бы разрешить эту проблему? Как вы себе представляете, что бы он или она сделали?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60" w:after="1" w:beforeAutospacing="0" w:afterAutospacing="0"/>
        <w:ind w:left="24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60" w:after="449" w:beforeAutospacing="0" w:afterAutospacing="0"/>
        <w:ind w:left="240"/>
        <w:jc w:val="both"/>
        <w:rPr>
          <w:rFonts w:ascii="Times New Roman" w:hAnsi="Times New Roman"/>
          <w:b w:val="1"/>
          <w:sz w:val="24"/>
        </w:rPr>
      </w:pPr>
    </w:p>
    <w:p>
      <w:pPr>
        <w:pStyle w:val="P2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III. Технические требования, а также рабочие материалы, необходимые для      реализации вашего вклада</w:t>
      </w: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Инструкции относительно дизайна и технических требований для реализации</w:t>
      </w:r>
    </w:p>
    <w:p>
      <w:pPr>
        <w:spacing w:after="239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Бумага, цветные карандаши, ручки, фломастеры.</w:t>
      </w: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материалы (рабочие листы, карточки с картинками и т.д.), необходимые для проведения занятий</w:t>
      </w:r>
    </w:p>
    <w:p>
      <w:pPr>
        <w:spacing w:after="241" w:beforeAutospacing="0" w:afterAutospacing="0"/>
        <w:ind w:left="-2" w:right="-50"/>
        <w:jc w:val="both"/>
        <w:rPr>
          <w:rFonts w:ascii="Times New Roman" w:hAnsi="Times New Roman"/>
          <w:sz w:val="24"/>
        </w:rPr>
      </w:pPr>
    </w:p>
    <w:p>
      <w:pPr>
        <w:pStyle w:val="P3"/>
        <w:ind w:lef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Ссылки на страницы с полезной информацией, справочными материалами, теоретическими  пособиями или примерами передовой практики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Литература: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Артюшкинa А.В. «Невесты аллаха»: кто они? // Мир и согласие. – 2006. – № 1. – С. 126–141.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Берн Ш. Гендерная психология. – СПб.: Прайм-ЕВРОЗНАК, 2001.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Гинзбург М.Р., Яковлева Е.Л. Эриксоновский гипноз: систематический курс. – М.: Московский психолого-социальный институт, 2008. – 312 с.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Григорьева М.А. Гендерный аспект политического терроризма // Теория и практика общественного развития. – 2011. – № 5. – С. 185–188.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Добрович А.Б. Террористы – запрограммированные люди с пеленок // Известия. – 2005. – 13 сентября.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 ДронзинаТ.A. Террористки-смертницы // Вестник Евразии. – 2005. – № 1. – C. 154–175.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Журавлев Д. Международный терроризм и СМИ: эволюция взаимодействия // Вестник РГГУ. – 2009. – N 14.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8. Законодательное обеспечение борьбы с терроризмом: Сборник документов и материалов. – М.: Издательство Государственной Думы, 2013.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Интервью сокамерницы террористки-смертницы Заремы Мужахоевой // Известия. – 2004. – 20 апреля. // http://www. izvestia.ru/life/article82576.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Интервью сокамерницы террористки-смертницы Заремы Мужахоевой. // Известия. 2004. 20 апреля. // http://www. izvestia.ru/life/article82576.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Информационная война. Информационное противоборство: теория и практика: монография / В.М. Щекотихин, А.В. Королёв, В.В. Королёва и др. // Под общ. ред. В.М. Щекотихина. – М.: Академия ФСО России, ЦАТУ, 2010. – 999 с.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12. К таким фондам относятся, например: Global Relief Foundation, Holy Land Foundation for Relief and Development, Benevolence International Foundation. См.: Maura Conway. Terrorist «use» of the Internet and fighting back // Information &amp; Security. – 2006. – № 19. – С. 12–14. [Электронный ресурс]. URL: isn. ethz.ch/Digital-Library/Publications/Detail/?ots591 =cab359a3- 137 9328-19cc-a1d2-8023e646b22c&amp;lng=en&amp;id=20642 (дата обращения 08.05.2016).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Казанцев А.А. Что предопределяет уход в терроризм в современном мире: социально-экономические или психологические факторы? / Электронный ресурс Какой?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14. Как социальные сети обращаются с террористами? http:// rus.azattyq.mobi/a/24907251/ full.html 15. Калабихина И. Социальный пол и проблемы населения. – М.: Менеджер, 1995.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Клецина И. С. Гендерная социализация: Учебное пособие. – СПб.: Изд-во РГПУ им. А. И. Герцена, 1998.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Колошина Т.Ю., Трусь А.А. Арт-терапевтические техники в тренинге: характеристики и использование. Практическое пособие для тренера. – СПб.: Речь, 2010. – 189 с.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18. Колошина Татьяна Юрьевна. Институт психотерапии и клинической психологии. http://www.psyinst.ru/seminar. php?id=215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Коран (перевод Э. Кулиева). // http://musulmanin.com/koranna-russkom.html.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Майерс Д. Социальная психология. – СПб.: Питер, 1995.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Малашенко A.В. Почему боятся ислама? // Исламская альтернатива и исламистский проект. – 2006. – С. 122–141.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Материал с семинара с Деаном Айдуковичем (доктор философии профессор Загребского университета). – Хорватия, 2005.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Метелева C.Д. Двести дней в джихаде. Спецкорр. «МК» провела полгода в террористической организации // Московский комсомолец. – 2004. – 19 июля.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Ольшанский Д.В. Психология террора. – М.: Академический проект, 2002. – 319 с.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25. Откровения террористки: «Я догадывалась, что должна совершить теракт путём самоубийства» // Известия. – 2004. – 3 февраля.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26. Пайнс Э., Маслач К. Практикум по социальной психологии. – СПб.: Питер, 2000.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27. Проблема терроризма в сети и пути ее решения. http://antiterror.vologda-uni.ru/index.php? option=com_ 138 content&amp;view=article&amp;id=90:2011-09-08-09-43- 55&amp;catid=39:2011-09-06-10-29-55&amp;Itemid=58 / Психологические проблемы самореализации личности. – Вып. 1–4. – СПб.: СПбГУ, 1997–2001.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28. Розин B.М. Мусульманка и её мир // Россия и мусульманский мир. – 2005. – № 9 (159). – С. 156–178.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 Cкиннер Р., Клииз Д. Семья и как в ней уцелеть / Перев. с англ. Н.М. Падалко / М.: Независимая фирма «Класс», 1995. – 272 с.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30. Твиттер-революция. URL: http://ru.wikipedia.org/wiki/Твиттер-революция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Фопель К. Психологические группы: Рабочие материалы для ведущего. – М.: Генезис, 2005. – 256 с. 32. Ханелис В.В. С точки зрения психиатра, террорист-самоубийца, как правило, абсолютно здоров // Известия. – 2004. – 13 сентября.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33. Элина Славинская ДРООП «Психея» (Дагестанская республиканская общественная организация психологов и социальных работников «Психея» / Методическое пособие лучших практик поддержки и продвижения прав женщин. Опыт Северного Кавказа / Под редакцией И. Костериной; Л.У. Курбановой, И. Айрапетян. – Грозный, 2016. – 253 с.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34. Эмерай Д.А. Убийство женщин во имя чести в среде мусульман // http:// sotref.com.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35. Юзик Ю.В. Невесты Аллаха //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"http://lib.rus.ec/b/327620/read"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http://lib.rus.ec/b/327620/read</w:t>
      </w:r>
      <w:r>
        <w:rPr>
          <w:rStyle w:val="C2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Якупов М.Т. Современный джихад (социально-философский анализ) // Вестник Башкирского университета. – 2009. – Т. 14. – № 2. – С. 579–584.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37. «How to Make Bomb in Kitchen of Mom» Featured in Al Qaeda’s 1st English Magazine»// NewsCore. July 1, 2010. [Электронный ресурс]. URL: http://www.foxnews.com/world/ 2010/07/01/ make-bomb-kitchen-mom-featured-al-qaedas-st-englishmagazine/ (дата обращения 08.05.2016).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38. 1.http://www.unodc.org/documents/frontpage/Use_of_ Internet_for_Terrorist_Purposes.pdf (дата обращения 08.05.2016.)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39. Al-Qaida launches English-language e-zine.// United Press International. Archived from the original on July 4, 2010. 139 [Электронный ресурс]. URL:http://www.webcitation. org/ query?url=http%3A%2F%2Fwww.upi.com%2FTop_ News%2FUS%2F2010%2F07%2F01%2FAl-Qaida-launchesEnglish-language-e-zine%2FUPI-39151277988860%2F&amp;da te=2010-07-04 (дата обращения 08.09.2016).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40.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"http://www.youtube.com/yt/press/ru/statistics.html"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http://www.youtube.com/yt/press/ru/statistics.html</w:t>
      </w:r>
      <w:r>
        <w:rPr>
          <w:rStyle w:val="C2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41. Richard Spencer. Al-Qaeda newspaper: Make a bomb in the kitchen of your mom. London: The Daily Telegraph. Archived from the original on July 4, 2010. Retrieved July 1, 2010. [Электронныйресурс]. URL: http://www.webcitation.org/query?url=http%3A%2F%2Fwww. telegraph.co.uk%2Fnews%2Fworldnews%2F7865978%2FAlQaeda-newspaper-Make-a-bomb-in-the-kitchen-of-your-mom. html&amp;date=2010-07-04 (дата обращения 08.09.2016). </w:t>
      </w:r>
    </w:p>
    <w:p>
      <w:pPr>
        <w:spacing w:after="0" w:beforeAutospacing="0" w:afterAutospacing="0"/>
        <w:ind w:left="-2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The use of the Internet for terrorist purposes. – New York: United Nations, 2012. – 158 c. [Электронный ресурс]. URL: http://www.unodc.org/documents/frontpage/ Use_of_Internet for_Terrorist Purposes.pdf (дата обращения 08.09.2016</w:t>
      </w:r>
    </w:p>
    <w:sectPr>
      <w:type w:val="nextPage"/>
      <w:pgSz w:w="11906" w:h="16838" w:code="9"/>
      <w:pgMar w:left="1142" w:right="1185" w:top="850" w:bottom="117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7E440DF"/>
    <w:multiLevelType w:val="hybridMultilevel"/>
    <w:lvl w:ilvl="0" w:tplc="ED322C16">
      <w:start w:val="1"/>
      <w:numFmt w:val="decimal"/>
      <w:suff w:val="tab"/>
      <w:lvlText w:val="%1."/>
      <w:lvlJc w:val="left"/>
      <w:pPr>
        <w:ind w:left="7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AD288C26">
      <w:start w:val="1"/>
      <w:numFmt w:val="lowerLetter"/>
      <w:suff w:val="tab"/>
      <w:lvlText w:val="%2"/>
      <w:lvlJc w:val="left"/>
      <w:pPr>
        <w:ind w:left="14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2D14E30A">
      <w:start w:val="1"/>
      <w:numFmt w:val="lowerRoman"/>
      <w:suff w:val="tab"/>
      <w:lvlText w:val="%3"/>
      <w:lvlJc w:val="left"/>
      <w:pPr>
        <w:ind w:left="21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81D2C3E4">
      <w:start w:val="1"/>
      <w:numFmt w:val="decimal"/>
      <w:suff w:val="tab"/>
      <w:lvlText w:val="%4"/>
      <w:lvlJc w:val="left"/>
      <w:pPr>
        <w:ind w:left="28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86B8E596">
      <w:start w:val="1"/>
      <w:numFmt w:val="lowerLetter"/>
      <w:suff w:val="tab"/>
      <w:lvlText w:val="%5"/>
      <w:lvlJc w:val="left"/>
      <w:pPr>
        <w:ind w:left="360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34EA7370">
      <w:start w:val="1"/>
      <w:numFmt w:val="lowerRoman"/>
      <w:suff w:val="tab"/>
      <w:lvlText w:val="%6"/>
      <w:lvlJc w:val="left"/>
      <w:pPr>
        <w:ind w:left="432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F566087E">
      <w:start w:val="1"/>
      <w:numFmt w:val="decimal"/>
      <w:suff w:val="tab"/>
      <w:lvlText w:val="%7"/>
      <w:lvlJc w:val="left"/>
      <w:pPr>
        <w:ind w:left="504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22D0F3E2">
      <w:start w:val="1"/>
      <w:numFmt w:val="lowerLetter"/>
      <w:suff w:val="tab"/>
      <w:lvlText w:val="%8"/>
      <w:lvlJc w:val="left"/>
      <w:pPr>
        <w:ind w:left="576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CA360DF4">
      <w:start w:val="1"/>
      <w:numFmt w:val="lowerRoman"/>
      <w:suff w:val="tab"/>
      <w:lvlText w:val="%9"/>
      <w:lvlJc w:val="left"/>
      <w:pPr>
        <w:ind w:left="6480"/>
      </w:pPr>
      <w:rPr>
        <w:rFonts w:ascii="Calibri" w:hAnsi="Calibri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">
    <w:nsid w:val="4C5E7733"/>
    <w:multiLevelType w:val="hybridMultilevel"/>
    <w:lvl w:ilvl="0" w:tplc="CA2CA422">
      <w:start w:val="1"/>
      <w:numFmt w:val="decimal"/>
      <w:suff w:val="tab"/>
      <w:lvlText w:val="%1."/>
      <w:lvlJc w:val="left"/>
      <w:pPr>
        <w:ind w:left="24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5AB43F56">
      <w:start w:val="1"/>
      <w:numFmt w:val="lowerLetter"/>
      <w:suff w:val="tab"/>
      <w:lvlText w:val="%2"/>
      <w:lvlJc w:val="left"/>
      <w:pPr>
        <w:ind w:left="123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3E14E010">
      <w:start w:val="1"/>
      <w:numFmt w:val="lowerRoman"/>
      <w:suff w:val="tab"/>
      <w:lvlText w:val="%3"/>
      <w:lvlJc w:val="left"/>
      <w:pPr>
        <w:ind w:left="195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3" w:tplc="40044F4A">
      <w:start w:val="1"/>
      <w:numFmt w:val="decimal"/>
      <w:suff w:val="tab"/>
      <w:lvlText w:val="%4"/>
      <w:lvlJc w:val="left"/>
      <w:pPr>
        <w:ind w:left="267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4" w:tplc="50C2889A">
      <w:start w:val="1"/>
      <w:numFmt w:val="lowerLetter"/>
      <w:suff w:val="tab"/>
      <w:lvlText w:val="%5"/>
      <w:lvlJc w:val="left"/>
      <w:pPr>
        <w:ind w:left="339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5" w:tplc="DF74F352">
      <w:start w:val="1"/>
      <w:numFmt w:val="lowerRoman"/>
      <w:suff w:val="tab"/>
      <w:lvlText w:val="%6"/>
      <w:lvlJc w:val="left"/>
      <w:pPr>
        <w:ind w:left="411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6" w:tplc="154452E4">
      <w:start w:val="1"/>
      <w:numFmt w:val="decimal"/>
      <w:suff w:val="tab"/>
      <w:lvlText w:val="%7"/>
      <w:lvlJc w:val="left"/>
      <w:pPr>
        <w:ind w:left="483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7" w:tplc="89FAB98C">
      <w:start w:val="1"/>
      <w:numFmt w:val="lowerLetter"/>
      <w:suff w:val="tab"/>
      <w:lvlText w:val="%8"/>
      <w:lvlJc w:val="left"/>
      <w:pPr>
        <w:ind w:left="555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  <w:lvl w:ilvl="8" w:tplc="BF861AF2">
      <w:start w:val="1"/>
      <w:numFmt w:val="lowerRoman"/>
      <w:suff w:val="tab"/>
      <w:lvlText w:val="%9"/>
      <w:lvlJc w:val="left"/>
      <w:pPr>
        <w:ind w:left="6270"/>
      </w:pPr>
      <w:rPr>
        <w:rFonts w:ascii="Calibri" w:hAnsi="Calibri"/>
        <w:b w:val="0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">
    <w:nsid w:val="55741698"/>
    <w:multiLevelType w:val="hybridMultilevel"/>
    <w:lvl w:ilvl="0" w:tplc="2EB4FF76">
      <w:start w:val="1"/>
      <w:numFmt w:val="bullet"/>
      <w:suff w:val="tab"/>
      <w:lvlText w:val="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3">
    <w:nsid w:val="572B5C8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62662A93"/>
    <w:multiLevelType w:val="hybridMultilevel"/>
    <w:lvl w:ilvl="0" w:tplc="2EB4FF76">
      <w:start w:val="1"/>
      <w:numFmt w:val="bullet"/>
      <w:suff w:val="tab"/>
      <w:lvlText w:val="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5">
    <w:nsid w:val="6C387124"/>
    <w:multiLevelType w:val="hybridMultilevel"/>
    <w:lvl w:ilvl="0" w:tplc="BC9C25E8">
      <w:start w:val="1"/>
      <w:numFmt w:val="decimal"/>
      <w:suff w:val="tab"/>
      <w:lvlText w:val="%1."/>
      <w:lvlJc w:val="left"/>
      <w:pPr>
        <w:ind w:hanging="360" w:left="114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3"/>
      </w:pPr>
      <w:rPr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  <w:color w:val="000000"/>
    </w:rPr>
  </w:style>
  <w:style w:type="paragraph" w:styleId="P1">
    <w:name w:val="heading 1"/>
    <w:next w:val="P0"/>
    <w:link w:val="C5"/>
    <w:qFormat/>
    <w:pPr>
      <w:keepNext w:val="1"/>
      <w:keepLines w:val="1"/>
      <w:spacing w:after="191" w:beforeAutospacing="0" w:afterAutospacing="0"/>
      <w:ind w:hanging="10" w:left="10"/>
      <w:outlineLvl w:val="0"/>
    </w:pPr>
    <w:rPr>
      <w:rFonts w:ascii="Calibri" w:hAnsi="Calibri"/>
      <w:b w:val="1"/>
      <w:color w:val="000000"/>
      <w:sz w:val="28"/>
    </w:rPr>
  </w:style>
  <w:style w:type="paragraph" w:styleId="P2">
    <w:name w:val="heading 2"/>
    <w:next w:val="P0"/>
    <w:link w:val="C4"/>
    <w:qFormat/>
    <w:pPr>
      <w:keepNext w:val="1"/>
      <w:keepLines w:val="1"/>
      <w:spacing w:after="139" w:beforeAutospacing="0" w:afterAutospacing="0"/>
      <w:ind w:hanging="10" w:left="10"/>
      <w:outlineLvl w:val="1"/>
    </w:pPr>
    <w:rPr>
      <w:rFonts w:ascii="Calibri" w:hAnsi="Calibri"/>
      <w:b w:val="1"/>
      <w:color w:val="000000"/>
      <w:sz w:val="26"/>
    </w:rPr>
  </w:style>
  <w:style w:type="paragraph" w:styleId="P3">
    <w:name w:val="heading 3"/>
    <w:next w:val="P0"/>
    <w:link w:val="C3"/>
    <w:qFormat/>
    <w:pPr>
      <w:keepNext w:val="1"/>
      <w:keepLines w:val="1"/>
      <w:spacing w:after="4" w:beforeAutospacing="0" w:afterAutospacing="0"/>
      <w:ind w:hanging="10" w:left="10"/>
      <w:outlineLvl w:val="2"/>
    </w:pPr>
    <w:rPr>
      <w:rFonts w:ascii="Calibri" w:hAnsi="Calibri"/>
      <w:b w:val="1"/>
      <w:color w:val="000000"/>
      <w:sz w:val="20"/>
    </w:rPr>
  </w:style>
  <w:style w:type="paragraph" w:styleId="P4">
    <w:name w:val="List Paragraph"/>
    <w:basedOn w:val="P0"/>
    <w:qFormat/>
    <w:pPr>
      <w:ind w:left="720"/>
      <w:contextualSpacing w:val="1"/>
    </w:pPr>
    <w:rPr>
      <w:color w:val="auto"/>
    </w:rPr>
  </w:style>
  <w:style w:type="paragraph" w:styleId="P5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color w:val="auto"/>
      <w:sz w:val="24"/>
    </w:rPr>
  </w:style>
  <w:style w:type="paragraph" w:styleId="P6">
    <w:name w:val="annotation text"/>
    <w:basedOn w:val="P0"/>
    <w:link w:val="C11"/>
    <w:semiHidden/>
    <w:pPr>
      <w:spacing w:lineRule="auto" w:line="240" w:beforeAutospacing="0" w:afterAutospacing="0"/>
    </w:pPr>
    <w:rPr>
      <w:sz w:val="20"/>
    </w:rPr>
  </w:style>
  <w:style w:type="paragraph" w:styleId="P7">
    <w:name w:val="annotation subject"/>
    <w:basedOn w:val="P6"/>
    <w:next w:val="P6"/>
    <w:link w:val="C12"/>
    <w:semiHidden/>
    <w:pPr/>
    <w:rPr>
      <w:b w:val="1"/>
    </w:rPr>
  </w:style>
  <w:style w:type="paragraph" w:styleId="P8">
    <w:name w:val="Balloon Text"/>
    <w:basedOn w:val="P0"/>
    <w:link w:val="C1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Заголовок 3 Знак"/>
    <w:link w:val="P3"/>
    <w:rPr>
      <w:rFonts w:ascii="Calibri" w:hAnsi="Calibri"/>
      <w:b w:val="1"/>
      <w:color w:val="000000"/>
      <w:sz w:val="20"/>
    </w:rPr>
  </w:style>
  <w:style w:type="character" w:styleId="C4">
    <w:name w:val="Заголовок 2 Знак"/>
    <w:link w:val="P2"/>
    <w:rPr>
      <w:rFonts w:ascii="Calibri" w:hAnsi="Calibri"/>
      <w:b w:val="1"/>
      <w:color w:val="000000"/>
      <w:sz w:val="26"/>
    </w:rPr>
  </w:style>
  <w:style w:type="character" w:styleId="C5">
    <w:name w:val="Заголовок 1 Знак"/>
    <w:link w:val="P1"/>
    <w:rPr>
      <w:rFonts w:ascii="Calibri" w:hAnsi="Calibri"/>
      <w:b w:val="1"/>
      <w:color w:val="000000"/>
      <w:sz w:val="28"/>
    </w:rPr>
  </w:style>
  <w:style w:type="character" w:styleId="C6">
    <w:name w:val="apple-converted-space"/>
    <w:basedOn w:val="C0"/>
    <w:rPr/>
  </w:style>
  <w:style w:type="character" w:styleId="C7">
    <w:name w:val="c25"/>
    <w:basedOn w:val="C0"/>
    <w:rPr/>
  </w:style>
  <w:style w:type="character" w:styleId="C8">
    <w:name w:val="c1"/>
    <w:basedOn w:val="C0"/>
    <w:rPr/>
  </w:style>
  <w:style w:type="character" w:styleId="C9">
    <w:name w:val="c13"/>
    <w:basedOn w:val="C0"/>
    <w:rPr/>
  </w:style>
  <w:style w:type="character" w:styleId="C10">
    <w:name w:val="annotation reference"/>
    <w:basedOn w:val="C0"/>
    <w:semiHidden/>
    <w:rPr>
      <w:sz w:val="16"/>
    </w:rPr>
  </w:style>
  <w:style w:type="character" w:styleId="C11">
    <w:name w:val="Текст примечания Знак"/>
    <w:basedOn w:val="C0"/>
    <w:link w:val="P6"/>
    <w:semiHidden/>
    <w:rPr>
      <w:sz w:val="20"/>
    </w:rPr>
  </w:style>
  <w:style w:type="character" w:styleId="C12">
    <w:name w:val="Тема примечания Знак"/>
    <w:basedOn w:val="C11"/>
    <w:link w:val="P7"/>
    <w:semiHidden/>
    <w:rPr>
      <w:b w:val="1"/>
    </w:rPr>
  </w:style>
  <w:style w:type="character" w:styleId="C13">
    <w:name w:val="Текст выноски Знак"/>
    <w:basedOn w:val="C0"/>
    <w:link w:val="P8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